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D3" w:rsidRDefault="007508D3" w:rsidP="007508D3">
      <w:pPr>
        <w:spacing w:after="0" w:line="240" w:lineRule="auto"/>
        <w:rPr>
          <w:color w:val="000000"/>
        </w:rPr>
      </w:pPr>
      <w:r>
        <w:rPr>
          <w:noProof/>
          <w:color w:val="000000"/>
        </w:rPr>
        <w:drawing>
          <wp:inline distT="0" distB="0" distL="0" distR="0" wp14:anchorId="78D3DAF8" wp14:editId="7284583F">
            <wp:extent cx="942975" cy="942975"/>
            <wp:effectExtent l="0" t="0" r="9525" b="9525"/>
            <wp:docPr id="2" name="Picture 2" descr="cid:image007.png@01D013CF.CB932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013CF.CB9323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7508D3" w:rsidRDefault="007508D3" w:rsidP="007508D3">
      <w:pPr>
        <w:spacing w:after="0" w:line="240" w:lineRule="auto"/>
        <w:ind w:left="720"/>
        <w:rPr>
          <w:color w:val="000000"/>
        </w:rPr>
      </w:pPr>
      <w:r>
        <w:rPr>
          <w:rFonts w:ascii="Times New Roman" w:hAnsi="Times New Roman" w:cs="Times New Roman"/>
          <w:noProof/>
          <w:sz w:val="24"/>
          <w:szCs w:val="24"/>
        </w:rPr>
        <w:drawing>
          <wp:anchor distT="0" distB="0" distL="114300" distR="114300" simplePos="0" relativeHeight="251658240" behindDoc="0" locked="0" layoutInCell="1" allowOverlap="1" wp14:anchorId="57369194" wp14:editId="637BC576">
            <wp:simplePos x="0" y="0"/>
            <wp:positionH relativeFrom="column">
              <wp:posOffset>-285115</wp:posOffset>
            </wp:positionH>
            <wp:positionV relativeFrom="paragraph">
              <wp:posOffset>68580</wp:posOffset>
            </wp:positionV>
            <wp:extent cx="7077075" cy="476250"/>
            <wp:effectExtent l="0" t="0" r="9525" b="0"/>
            <wp:wrapNone/>
            <wp:docPr id="3" name="Picture 3" descr="SHEET METAL WORKERS’ NATIONAL PENSION FUN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ET METAL WORKERS’ NATIONAL PENSION FUND&#1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7075" cy="476250"/>
                    </a:xfrm>
                    <a:prstGeom prst="rect">
                      <a:avLst/>
                    </a:prstGeom>
                    <a:noFill/>
                  </pic:spPr>
                </pic:pic>
              </a:graphicData>
            </a:graphic>
            <wp14:sizeRelH relativeFrom="margin">
              <wp14:pctWidth>0</wp14:pctWidth>
            </wp14:sizeRelH>
            <wp14:sizeRelV relativeFrom="margin">
              <wp14:pctHeight>0</wp14:pctHeight>
            </wp14:sizeRelV>
          </wp:anchor>
        </w:drawing>
      </w:r>
    </w:p>
    <w:p w:rsidR="007508D3" w:rsidRDefault="007508D3" w:rsidP="007508D3">
      <w:pPr>
        <w:spacing w:after="0" w:line="240" w:lineRule="auto"/>
        <w:ind w:left="720" w:right="2489"/>
      </w:pPr>
    </w:p>
    <w:p w:rsidR="007508D3" w:rsidRDefault="007508D3" w:rsidP="007508D3">
      <w:pPr>
        <w:spacing w:after="0" w:line="240" w:lineRule="auto"/>
        <w:ind w:left="720" w:right="2489"/>
      </w:pPr>
    </w:p>
    <w:p w:rsidR="007508D3" w:rsidRDefault="007508D3" w:rsidP="007508D3">
      <w:pPr>
        <w:spacing w:after="0" w:line="240" w:lineRule="auto"/>
        <w:ind w:left="720" w:right="2489"/>
      </w:pPr>
    </w:p>
    <w:p w:rsidR="007508D3" w:rsidRDefault="007508D3" w:rsidP="007508D3">
      <w:pPr>
        <w:spacing w:after="0" w:line="240" w:lineRule="auto"/>
        <w:ind w:left="720" w:right="2489"/>
      </w:pPr>
      <w:r>
        <w:t xml:space="preserve">Dear Industry Leader: </w:t>
      </w:r>
    </w:p>
    <w:p w:rsidR="007508D3" w:rsidRDefault="007508D3" w:rsidP="007508D3">
      <w:pPr>
        <w:spacing w:after="0" w:line="240" w:lineRule="auto"/>
        <w:ind w:left="720" w:right="2489"/>
      </w:pPr>
    </w:p>
    <w:p w:rsidR="007508D3" w:rsidRDefault="007508D3" w:rsidP="007508D3">
      <w:pPr>
        <w:spacing w:after="0" w:line="240" w:lineRule="auto"/>
        <w:ind w:left="720" w:right="2309"/>
      </w:pPr>
      <w:r>
        <w:t>We expect your office has gotten many calls about the new Pension Law, which was part of the Omnibus Spending Bill that the President signed this month.   We are still reviewing all 130-plus pages, but we want to give you some important information that may be of particular interest to your retired members.</w:t>
      </w:r>
    </w:p>
    <w:p w:rsidR="007508D3" w:rsidRDefault="007508D3" w:rsidP="007508D3">
      <w:pPr>
        <w:spacing w:after="0" w:line="240" w:lineRule="auto"/>
        <w:ind w:left="720" w:right="2309"/>
      </w:pPr>
    </w:p>
    <w:p w:rsidR="007508D3" w:rsidRDefault="007508D3" w:rsidP="007508D3">
      <w:pPr>
        <w:spacing w:after="0" w:line="240" w:lineRule="auto"/>
        <w:ind w:left="720" w:right="2309"/>
        <w:rPr>
          <w:b/>
          <w:bCs/>
        </w:rPr>
      </w:pPr>
      <w:r>
        <w:rPr>
          <w:b/>
          <w:bCs/>
        </w:rPr>
        <w:t xml:space="preserve">BASED ON OUR READING OF THE NEW LAW, THE NATIONAL PENSION FUND IS </w:t>
      </w:r>
      <w:r>
        <w:rPr>
          <w:b/>
          <w:bCs/>
          <w:u w:val="single"/>
        </w:rPr>
        <w:t>NOT</w:t>
      </w:r>
      <w:r>
        <w:rPr>
          <w:b/>
          <w:bCs/>
        </w:rPr>
        <w:t xml:space="preserve"> </w:t>
      </w:r>
      <w:bookmarkStart w:id="0" w:name="_GoBack"/>
      <w:bookmarkEnd w:id="0"/>
      <w:r>
        <w:rPr>
          <w:b/>
          <w:bCs/>
        </w:rPr>
        <w:t xml:space="preserve">ONE OF THE FUNDS THAT COULD MAKE USE OF THE NEW PROVISIONS FOR REDUCTION/SUSPENSION OF RETIREE BENEFITS.  </w:t>
      </w:r>
    </w:p>
    <w:p w:rsidR="007508D3" w:rsidRDefault="007508D3" w:rsidP="007508D3">
      <w:pPr>
        <w:spacing w:after="0" w:line="240" w:lineRule="auto"/>
        <w:ind w:left="720" w:right="2309"/>
        <w:rPr>
          <w:b/>
          <w:bCs/>
        </w:rPr>
      </w:pPr>
    </w:p>
    <w:p w:rsidR="007508D3" w:rsidRDefault="007508D3" w:rsidP="007508D3">
      <w:pPr>
        <w:spacing w:after="0" w:line="240" w:lineRule="auto"/>
        <w:ind w:left="720" w:right="2309"/>
      </w:pPr>
      <w:r>
        <w:t>It appears that a limited number of pension plans – those that are</w:t>
      </w:r>
      <w:r>
        <w:rPr>
          <w:b/>
          <w:bCs/>
        </w:rPr>
        <w:t xml:space="preserve"> </w:t>
      </w:r>
      <w:r>
        <w:t>facing insolvency within the next</w:t>
      </w:r>
      <w:r>
        <w:rPr>
          <w:b/>
          <w:bCs/>
          <w:i/>
          <w:iCs/>
        </w:rPr>
        <w:t xml:space="preserve"> </w:t>
      </w:r>
      <w:r>
        <w:t>14/19 years and other criteria – might turn to these new provisions.  Such plans have to jump through a lot of hoops, like applying to the government AND holding a vote of members, both active and retired.  </w:t>
      </w:r>
      <w:r>
        <w:rPr>
          <w:i/>
          <w:iCs/>
        </w:rPr>
        <w:t>But, as we said, the way we read it now—NPF is not one of the plans that falls into this category</w:t>
      </w:r>
      <w:r>
        <w:t xml:space="preserve">.   </w:t>
      </w:r>
    </w:p>
    <w:p w:rsidR="007508D3" w:rsidRDefault="007508D3" w:rsidP="007508D3">
      <w:pPr>
        <w:spacing w:after="0" w:line="240" w:lineRule="auto"/>
        <w:ind w:left="720" w:right="2309"/>
      </w:pPr>
    </w:p>
    <w:p w:rsidR="007508D3" w:rsidRDefault="007508D3" w:rsidP="007508D3">
      <w:pPr>
        <w:spacing w:after="0" w:line="240" w:lineRule="auto"/>
        <w:ind w:left="720" w:right="2309"/>
      </w:pPr>
      <w:r>
        <w:t xml:space="preserve">Of course, there are complex calculations that actuaries perform which are based on projections and assumptions, and no IRS, DOL, </w:t>
      </w:r>
      <w:proofErr w:type="gramStart"/>
      <w:r>
        <w:t>PBGC  regulations</w:t>
      </w:r>
      <w:proofErr w:type="gramEnd"/>
      <w:r>
        <w:t xml:space="preserve"> or court decisions have been issued.   No one can predict all the developments in the law, but the important point right now is that we do not expect the NPF will fall into that category.  Rest assured that if we should reach a different conclusion, we will let you know.</w:t>
      </w:r>
    </w:p>
    <w:p w:rsidR="007508D3" w:rsidRDefault="007508D3" w:rsidP="007508D3">
      <w:pPr>
        <w:spacing w:after="0" w:line="240" w:lineRule="auto"/>
        <w:ind w:left="720" w:right="2489"/>
      </w:pPr>
    </w:p>
    <w:p w:rsidR="007508D3" w:rsidRDefault="007508D3" w:rsidP="007508D3">
      <w:pPr>
        <w:spacing w:after="0" w:line="240" w:lineRule="auto"/>
        <w:ind w:left="720" w:right="2489"/>
      </w:pPr>
      <w:r>
        <w:t xml:space="preserve">Your attention is appreciated, and best wishes from the NPF for the Holiday Season.  </w:t>
      </w:r>
    </w:p>
    <w:p w:rsidR="007508D3" w:rsidRDefault="007508D3" w:rsidP="007508D3">
      <w:pPr>
        <w:spacing w:after="0" w:line="240" w:lineRule="auto"/>
        <w:ind w:left="720" w:right="720"/>
      </w:pPr>
    </w:p>
    <w:p w:rsidR="007508D3" w:rsidRDefault="007508D3" w:rsidP="007508D3">
      <w:pPr>
        <w:spacing w:after="0" w:line="240" w:lineRule="auto"/>
        <w:ind w:left="720"/>
      </w:pPr>
      <w:r>
        <w:rPr>
          <w:noProof/>
        </w:rPr>
        <w:drawing>
          <wp:inline distT="0" distB="0" distL="0" distR="0">
            <wp:extent cx="1304925" cy="371475"/>
            <wp:effectExtent l="0" t="0" r="9525" b="9525"/>
            <wp:docPr id="1" name="Picture 1" descr="Description: cid:image003.jpg@01CDB798.9B73E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B798.9B73EC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04925" cy="371475"/>
                    </a:xfrm>
                    <a:prstGeom prst="rect">
                      <a:avLst/>
                    </a:prstGeom>
                    <a:noFill/>
                    <a:ln>
                      <a:noFill/>
                    </a:ln>
                  </pic:spPr>
                </pic:pic>
              </a:graphicData>
            </a:graphic>
          </wp:inline>
        </w:drawing>
      </w:r>
    </w:p>
    <w:p w:rsidR="007508D3" w:rsidRDefault="007508D3" w:rsidP="007508D3">
      <w:pPr>
        <w:spacing w:before="100" w:beforeAutospacing="1" w:after="100" w:afterAutospacing="1" w:line="240" w:lineRule="auto"/>
        <w:ind w:left="720"/>
        <w:rPr>
          <w:color w:val="404040"/>
          <w:sz w:val="20"/>
          <w:szCs w:val="20"/>
        </w:rPr>
      </w:pPr>
      <w:r>
        <w:rPr>
          <w:color w:val="404040"/>
          <w:sz w:val="18"/>
          <w:szCs w:val="18"/>
        </w:rPr>
        <w:t>Marc LeBlanc - Fund Administrator</w:t>
      </w:r>
      <w:r>
        <w:br/>
      </w:r>
      <w:hyperlink r:id="rId10" w:history="1">
        <w:r>
          <w:rPr>
            <w:rStyle w:val="Hyperlink"/>
            <w:b/>
            <w:bCs/>
            <w:color w:val="1F497D"/>
          </w:rPr>
          <w:t>Sheet Metal Workers’ National Pension Fund</w:t>
        </w:r>
      </w:hyperlink>
      <w:r>
        <w:rPr>
          <w:b/>
          <w:bCs/>
          <w:color w:val="365F91"/>
          <w:sz w:val="20"/>
          <w:szCs w:val="20"/>
        </w:rPr>
        <w:t xml:space="preserve"> </w:t>
      </w:r>
      <w:r>
        <w:rPr>
          <w:b/>
          <w:bCs/>
          <w:color w:val="365F91"/>
          <w:sz w:val="20"/>
          <w:szCs w:val="20"/>
        </w:rPr>
        <w:br/>
      </w:r>
      <w:r>
        <w:rPr>
          <w:b/>
          <w:bCs/>
          <w:i/>
          <w:iCs/>
          <w:color w:val="E36C0A"/>
        </w:rPr>
        <w:t> </w:t>
      </w:r>
      <w:hyperlink r:id="rId11" w:history="1">
        <w:r>
          <w:rPr>
            <w:rStyle w:val="Hyperlink"/>
            <w:b/>
            <w:bCs/>
            <w:i/>
            <w:iCs/>
          </w:rPr>
          <w:t>mleblanc@smwnbf.org</w:t>
        </w:r>
      </w:hyperlink>
      <w:r>
        <w:rPr>
          <w:b/>
          <w:bCs/>
          <w:i/>
          <w:iCs/>
          <w:color w:val="E36C0A"/>
        </w:rPr>
        <w:br/>
      </w:r>
      <w:r>
        <w:rPr>
          <w:color w:val="404040"/>
          <w:sz w:val="20"/>
          <w:szCs w:val="20"/>
        </w:rPr>
        <w:t>8403 Arlington Boulevard, Suite 300</w:t>
      </w:r>
      <w:r>
        <w:rPr>
          <w:color w:val="404040"/>
          <w:sz w:val="20"/>
          <w:szCs w:val="20"/>
        </w:rPr>
        <w:br/>
        <w:t>Fairfax, VA  22031-4662</w:t>
      </w:r>
    </w:p>
    <w:p w:rsidR="00D56711" w:rsidRDefault="00D56711"/>
    <w:sectPr w:rsidR="00D56711" w:rsidSect="007508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D3"/>
    <w:rsid w:val="007508D3"/>
    <w:rsid w:val="00D5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D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8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8D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8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7.png@01D013CF.CB932300" TargetMode="External"/><Relationship Id="rId11" Type="http://schemas.openxmlformats.org/officeDocument/2006/relationships/hyperlink" Target="mailto:mleblanc@smwnbf.org" TargetMode="External"/><Relationship Id="rId5" Type="http://schemas.openxmlformats.org/officeDocument/2006/relationships/image" Target="media/image1.png"/><Relationship Id="rId10" Type="http://schemas.openxmlformats.org/officeDocument/2006/relationships/hyperlink" Target="http://www.smwnpf.org/" TargetMode="External"/><Relationship Id="rId4" Type="http://schemas.openxmlformats.org/officeDocument/2006/relationships/webSettings" Target="webSettings.xml"/><Relationship Id="rId9" Type="http://schemas.openxmlformats.org/officeDocument/2006/relationships/image" Target="cid:image008.jpg@01D013CF.CB9323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McCauley</dc:creator>
  <cp:lastModifiedBy>Mike McCauley</cp:lastModifiedBy>
  <cp:revision>1</cp:revision>
  <dcterms:created xsi:type="dcterms:W3CDTF">2014-12-29T16:54:00Z</dcterms:created>
  <dcterms:modified xsi:type="dcterms:W3CDTF">2014-12-29T16:56:00Z</dcterms:modified>
</cp:coreProperties>
</file>